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FB" w:rsidRPr="00B91AFB" w:rsidRDefault="00B91AFB" w:rsidP="00B91AFB">
      <w:pPr>
        <w:pStyle w:val="a4"/>
        <w:jc w:val="both"/>
        <w:rPr>
          <w:rFonts w:ascii="Times New Roman" w:hAnsi="Times New Roman" w:cs="Times New Roman"/>
          <w:sz w:val="28"/>
        </w:rPr>
      </w:pPr>
      <w:r w:rsidRPr="00B91AFB">
        <w:rPr>
          <w:rFonts w:ascii="Times New Roman" w:hAnsi="Times New Roman" w:cs="Times New Roman"/>
          <w:sz w:val="28"/>
        </w:rPr>
        <w:t>Полномочия прокурора расширены</w:t>
      </w:r>
    </w:p>
    <w:p w:rsidR="00B91AFB" w:rsidRPr="00B91AFB" w:rsidRDefault="00B91AFB" w:rsidP="00B91AF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1AFB">
        <w:rPr>
          <w:rFonts w:ascii="Times New Roman" w:hAnsi="Times New Roman" w:cs="Times New Roman"/>
          <w:sz w:val="28"/>
        </w:rPr>
        <w:t> </w:t>
      </w:r>
    </w:p>
    <w:p w:rsidR="00B91AFB" w:rsidRPr="00B91AFB" w:rsidRDefault="00B91AFB" w:rsidP="00B91AF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1AFB">
        <w:rPr>
          <w:rFonts w:ascii="Times New Roman" w:hAnsi="Times New Roman" w:cs="Times New Roman"/>
          <w:sz w:val="28"/>
          <w:szCs w:val="25"/>
        </w:rPr>
        <w:t xml:space="preserve">Федеральным законом от 07.10.2022 № 387-ФЗ внесены изменения в </w:t>
      </w:r>
      <w:r>
        <w:rPr>
          <w:rFonts w:ascii="Times New Roman" w:hAnsi="Times New Roman" w:cs="Times New Roman"/>
          <w:sz w:val="28"/>
          <w:szCs w:val="25"/>
        </w:rPr>
        <w:t xml:space="preserve">              </w:t>
      </w:r>
      <w:r w:rsidRPr="00B91AFB">
        <w:rPr>
          <w:rFonts w:ascii="Times New Roman" w:hAnsi="Times New Roman" w:cs="Times New Roman"/>
          <w:sz w:val="28"/>
          <w:szCs w:val="25"/>
        </w:rPr>
        <w:t>статью 52 Арбитражного процессуального кодекса Российской Федерации и статью 45 Гражданского процессуального кодекса Российской Федерации.</w:t>
      </w:r>
    </w:p>
    <w:p w:rsidR="00B91AFB" w:rsidRDefault="00B91AFB" w:rsidP="00B91AFB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B91AFB" w:rsidRPr="00B91AFB" w:rsidRDefault="00B91AFB" w:rsidP="00B91AF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B91AFB">
        <w:rPr>
          <w:rFonts w:ascii="Times New Roman" w:hAnsi="Times New Roman" w:cs="Times New Roman"/>
          <w:sz w:val="28"/>
          <w:szCs w:val="25"/>
        </w:rPr>
        <w:t>Внесенные изменения наделяют прокуроров правом обратиться в арбитражный суд с исками о признании недействительными сделок, совершенных с нарушением законодательства о противодействии легализации (отмыванию) доходов, полученных преступным путем, и финансированию терроризма, налогового, валютного и таможенного законодательства, а также о признании недействительными сделок, совершенных с нарушением законодательства, устанавливающего специальные экономические меры.</w:t>
      </w:r>
      <w:proofErr w:type="gramEnd"/>
    </w:p>
    <w:p w:rsidR="00B91AFB" w:rsidRDefault="00B91AFB" w:rsidP="00B91AFB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B91AFB" w:rsidRPr="00B91AFB" w:rsidRDefault="00B91AFB" w:rsidP="00B91AF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1AFB">
        <w:rPr>
          <w:rFonts w:ascii="Times New Roman" w:hAnsi="Times New Roman" w:cs="Times New Roman"/>
          <w:sz w:val="28"/>
          <w:szCs w:val="25"/>
        </w:rPr>
        <w:t>Также в числе прочего прокурору предоставляется право вступать в дело на любой стадии процесса в случае выявления обстоятельств, свидетельствующих о том, что являющийся предметом судебного разбирательства спор инициирован в целях уклонения от исполнения обязанностей и процедур, предусмотренных указанным законодательством.</w:t>
      </w:r>
    </w:p>
    <w:p w:rsidR="007E5702" w:rsidRPr="00B91AFB" w:rsidRDefault="007E5702" w:rsidP="00B91AF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00000" w:rsidRPr="00FD4885" w:rsidRDefault="00B91AFB" w:rsidP="00FD488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7C6"/>
    <w:rsid w:val="007E5702"/>
    <w:rsid w:val="00B91AFB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2022-11-17T12:33:00Z</dcterms:created>
  <dcterms:modified xsi:type="dcterms:W3CDTF">2022-11-17T12:33:00Z</dcterms:modified>
</cp:coreProperties>
</file>